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624" w:beforeLines="200" w:line="300" w:lineRule="exact"/>
        <w:ind w:right="420"/>
        <w:jc w:val="distribute"/>
        <w:textAlignment w:val="auto"/>
        <w:rPr>
          <w:rFonts w:hint="eastAsia" w:ascii="方正粗黑宋简体" w:hAnsi="方正粗黑宋简体" w:eastAsia="方正粗黑宋简体" w:cs="方正粗黑宋简体"/>
          <w:b w:val="0"/>
          <w:bCs/>
          <w:color w:val="FF0000"/>
          <w:spacing w:val="-13"/>
          <w:sz w:val="56"/>
          <w:szCs w:val="56"/>
          <w:lang w:eastAsia="zh-CN"/>
        </w:rPr>
      </w:pPr>
      <w:r>
        <w:rPr>
          <w:rFonts w:hint="eastAsia" w:ascii="方正粗黑宋简体" w:hAnsi="方正粗黑宋简体" w:eastAsia="方正粗黑宋简体" w:cs="方正粗黑宋简体"/>
          <w:b w:val="0"/>
          <w:bCs/>
          <w:color w:val="FF0000"/>
          <w:spacing w:val="-13"/>
          <w:sz w:val="56"/>
          <w:szCs w:val="56"/>
          <w:lang w:eastAsia="zh-CN"/>
        </w:rPr>
        <w:t>中国行为法学会培训合作中心</w:t>
      </w:r>
    </w:p>
    <w:p>
      <w:pPr>
        <w:keepNext w:val="0"/>
        <w:keepLines w:val="0"/>
        <w:pageBreakBefore w:val="0"/>
        <w:widowControl w:val="0"/>
        <w:kinsoku/>
        <w:wordWrap w:val="0"/>
        <w:overflowPunct/>
        <w:topLinePunct w:val="0"/>
        <w:autoSpaceDE/>
        <w:autoSpaceDN/>
        <w:bidi w:val="0"/>
        <w:adjustRightInd/>
        <w:snapToGrid/>
        <w:spacing w:before="624" w:beforeLines="200" w:line="300" w:lineRule="exact"/>
        <w:ind w:right="420"/>
        <w:jc w:val="distribute"/>
        <w:textAlignment w:val="auto"/>
        <w:rPr>
          <w:rFonts w:hint="eastAsia" w:ascii="方正粗黑宋简体" w:hAnsi="方正粗黑宋简体" w:eastAsia="方正粗黑宋简体" w:cs="方正粗黑宋简体"/>
          <w:b w:val="0"/>
          <w:bCs/>
          <w:color w:val="FF0000"/>
          <w:spacing w:val="-13"/>
          <w:sz w:val="56"/>
          <w:szCs w:val="56"/>
          <w:lang w:eastAsia="zh-CN"/>
        </w:rPr>
      </w:pPr>
      <w:r>
        <w:rPr>
          <w:rFonts w:hint="eastAsia" w:ascii="方正粗黑宋简体" w:hAnsi="方正粗黑宋简体" w:eastAsia="方正粗黑宋简体" w:cs="方正粗黑宋简体"/>
          <w:b w:val="0"/>
          <w:bCs/>
          <w:color w:val="FF0000"/>
          <w:spacing w:val="-13"/>
          <w:sz w:val="56"/>
          <w:szCs w:val="56"/>
          <w:lang w:eastAsia="zh-CN"/>
        </w:rPr>
        <w:t>上海市浦东新区知识产权协会</w:t>
      </w:r>
    </w:p>
    <w:p>
      <w:pPr>
        <w:keepNext w:val="0"/>
        <w:keepLines w:val="0"/>
        <w:pageBreakBefore w:val="0"/>
        <w:widowControl w:val="0"/>
        <w:kinsoku/>
        <w:wordWrap w:val="0"/>
        <w:overflowPunct/>
        <w:topLinePunct w:val="0"/>
        <w:autoSpaceDE/>
        <w:autoSpaceDN/>
        <w:bidi w:val="0"/>
        <w:adjustRightInd/>
        <w:snapToGrid/>
        <w:spacing w:before="624" w:beforeLines="200" w:line="300" w:lineRule="exact"/>
        <w:ind w:right="420"/>
        <w:jc w:val="distribute"/>
        <w:textAlignment w:val="auto"/>
        <w:rPr>
          <w:rFonts w:hint="eastAsia" w:ascii="方正粗黑宋简体" w:hAnsi="方正粗黑宋简体" w:eastAsia="方正粗黑宋简体" w:cs="方正粗黑宋简体"/>
          <w:b w:val="0"/>
          <w:bCs/>
          <w:color w:val="FF0000"/>
          <w:spacing w:val="-13"/>
          <w:sz w:val="56"/>
          <w:szCs w:val="56"/>
          <w:lang w:eastAsia="zh-CN"/>
        </w:rPr>
      </w:pPr>
      <w:r>
        <w:rPr>
          <w:rFonts w:hint="eastAsia" w:ascii="方正粗黑宋简体" w:hAnsi="方正粗黑宋简体" w:eastAsia="方正粗黑宋简体" w:cs="方正粗黑宋简体"/>
          <w:b w:val="0"/>
          <w:bCs/>
          <w:color w:val="FF0000"/>
          <w:spacing w:val="-13"/>
          <w:sz w:val="56"/>
          <w:szCs w:val="56"/>
          <w:lang w:eastAsia="zh-CN"/>
        </w:rPr>
        <w:t>上海市闵行区知识产权协会</w:t>
      </w:r>
    </w:p>
    <w:p>
      <w:pPr>
        <w:spacing w:line="440" w:lineRule="exact"/>
        <w:ind w:right="120"/>
        <w:rPr>
          <w:rFonts w:hint="eastAsia" w:ascii="黑体" w:eastAsia="黑体"/>
          <w:b/>
          <w:sz w:val="35"/>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59690</wp:posOffset>
                </wp:positionV>
                <wp:extent cx="612013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130" cy="635"/>
                        </a:xfrm>
                        <a:prstGeom prst="line">
                          <a:avLst/>
                        </a:prstGeom>
                        <a:ln w="31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pt;margin-top:4.7pt;height:0.05pt;width:481.9pt;z-index:251659264;mso-width-relative:page;mso-height-relative:page;" filled="f" stroked="t" coordsize="21600,21600" o:gfxdata="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vfEDNYAAAAHAQAADwAAAAAA&#10;AAABACAAAAAiAAAAZHJzL2Rvd25yZXYueG1sUEsBAhQAFAAAAAgAh07iQOgOHZHcAQAAmAMAAA4A&#10;AAAAAAAAAQAgAAAAJQEAAGRycy9lMm9Eb2MueG1sUEsFBgAAAAAGAAYAWQEAAHMFAAAAAA==&#10;">
                <v:fill on="f" focussize="0,0"/>
                <v:stroke weight="0.25pt" color="#FF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116840</wp:posOffset>
                </wp:positionV>
                <wp:extent cx="6120130" cy="635"/>
                <wp:effectExtent l="0" t="19050" r="13970" b="37465"/>
                <wp:wrapNone/>
                <wp:docPr id="1" name="直接连接符 1"/>
                <wp:cNvGraphicFramePr/>
                <a:graphic xmlns:a="http://schemas.openxmlformats.org/drawingml/2006/main">
                  <a:graphicData uri="http://schemas.microsoft.com/office/word/2010/wordprocessingShape">
                    <wps:wsp>
                      <wps:cNvCnPr/>
                      <wps:spPr>
                        <a:xfrm>
                          <a:off x="0" y="0"/>
                          <a:ext cx="612013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5pt;margin-top:9.2pt;height:0.05pt;width:481.9pt;z-index:251660288;mso-width-relative:page;mso-height-relative:page;" filled="f" stroked="t" coordsize="21600,21600" o:gfxdata="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XLblbbAAAACQEAAA8A&#10;AAAAAAAAAQAgAAAAIgAAAGRycy9kb3ducmV2LnhtbFBLAQIUABQAAAAIAIdO4kAzGLW92wEAAJkD&#10;AAAOAAAAAAAAAAEAIAAAACoBAABkcnMvZTJvRG9jLnhtbFBLBQYAAAAABgAGAFkBAAB3BQAAAAA=&#10;">
                <v:fill on="f" focussize="0,0"/>
                <v:stroke weight="3pt" color="#FF0000" joinstyle="round"/>
                <v:imagedata o:title=""/>
                <o:lock v:ext="edit" aspectratio="f"/>
              </v:line>
            </w:pict>
          </mc:Fallback>
        </mc:AlternateContent>
      </w:r>
    </w:p>
    <w:p>
      <w:pPr>
        <w:spacing w:line="500" w:lineRule="exact"/>
        <w:jc w:val="center"/>
        <w:rPr>
          <w:rFonts w:hint="default" w:ascii="黑体" w:eastAsia="黑体"/>
          <w:b/>
          <w:sz w:val="35"/>
          <w:lang w:val="en-US" w:eastAsia="zh-CN"/>
        </w:rPr>
      </w:pPr>
      <w:r>
        <w:rPr>
          <w:rFonts w:hint="eastAsia" w:ascii="黑体" w:eastAsia="黑体"/>
          <w:b/>
          <w:sz w:val="35"/>
          <w:lang w:val="en-US" w:eastAsia="zh-CN"/>
        </w:rPr>
        <w:t>民法典</w:t>
      </w:r>
      <w:r>
        <w:rPr>
          <w:rFonts w:hint="eastAsia" w:ascii="黑体" w:eastAsia="黑体"/>
          <w:b/>
          <w:sz w:val="35"/>
        </w:rPr>
        <w:t>视角：</w:t>
      </w:r>
      <w:r>
        <w:rPr>
          <w:rFonts w:hint="eastAsia" w:ascii="黑体" w:eastAsia="黑体"/>
          <w:b/>
          <w:sz w:val="35"/>
          <w:lang w:val="en-US" w:eastAsia="zh-CN"/>
        </w:rPr>
        <w:t>技术合同与</w:t>
      </w:r>
      <w:r>
        <w:rPr>
          <w:rFonts w:hint="eastAsia" w:ascii="黑体" w:eastAsia="黑体"/>
          <w:b/>
          <w:sz w:val="35"/>
        </w:rPr>
        <w:t>商业秘密管理</w:t>
      </w:r>
      <w:r>
        <w:rPr>
          <w:rFonts w:hint="eastAsia" w:ascii="黑体" w:eastAsia="黑体"/>
          <w:b/>
          <w:sz w:val="35"/>
          <w:lang w:eastAsia="zh-CN"/>
        </w:rPr>
        <w:t>、</w:t>
      </w:r>
      <w:r>
        <w:rPr>
          <w:rFonts w:hint="eastAsia" w:ascii="黑体" w:eastAsia="黑体"/>
          <w:b/>
          <w:sz w:val="35"/>
          <w:lang w:val="en-US" w:eastAsia="zh-CN"/>
        </w:rPr>
        <w:t>诉讼、抗辩实务</w:t>
      </w:r>
    </w:p>
    <w:p>
      <w:pPr>
        <w:spacing w:line="500" w:lineRule="exact"/>
        <w:jc w:val="center"/>
        <w:rPr>
          <w:rFonts w:hint="eastAsia" w:ascii="黑体" w:eastAsia="黑体"/>
          <w:b/>
          <w:sz w:val="35"/>
        </w:rPr>
      </w:pPr>
      <w:r>
        <w:rPr>
          <w:rFonts w:hint="eastAsia" w:ascii="黑体" w:eastAsia="黑体"/>
          <w:b/>
          <w:sz w:val="35"/>
          <w:lang w:val="en-US" w:eastAsia="zh-CN"/>
        </w:rPr>
        <w:t>暨典型案例解析高研班</w:t>
      </w:r>
      <w:r>
        <w:rPr>
          <w:rFonts w:hint="eastAsia" w:ascii="黑体" w:eastAsia="黑体"/>
          <w:b/>
          <w:sz w:val="35"/>
        </w:rPr>
        <w:t>·邀请函</w:t>
      </w:r>
    </w:p>
    <w:p>
      <w:pPr>
        <w:pStyle w:val="5"/>
        <w:spacing w:line="360" w:lineRule="exact"/>
        <w:ind w:firstLine="0"/>
        <w:rPr>
          <w:rFonts w:hint="eastAsia" w:ascii="宋体" w:hAnsi="宋体" w:eastAsia="宋体"/>
          <w:bCs/>
        </w:rPr>
      </w:pP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default" w:ascii="黑体" w:hAnsi="宋体" w:eastAsia="黑体" w:cs="Times New Roman"/>
          <w:b/>
          <w:sz w:val="28"/>
          <w:szCs w:val="28"/>
          <w:lang w:val="en-US" w:eastAsia="zh-CN"/>
        </w:rPr>
      </w:pPr>
      <w:r>
        <w:rPr>
          <w:rFonts w:hint="eastAsia" w:ascii="黑体" w:hAnsi="宋体" w:eastAsia="黑体" w:cs="Times New Roman"/>
          <w:b/>
          <w:sz w:val="28"/>
          <w:szCs w:val="28"/>
          <w:lang w:val="en-US" w:eastAsia="zh-CN"/>
        </w:rPr>
        <w:t>一、课程背景</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民法典》的编纂与出台，回应了知识产权司法实践与立法热点问题，其中，商业秘密保护法制的强化保护、技术合同法制的系统关注和知识产权侵权惩罚性赔偿新规的大力推进等三个方面是最值得期待的。同时，为加强知识产权司法保护，最高人民法院最近颁布了商业秘密司法解释征求意见稿，两高颁布了《知识产权刑事案件司法解释（三）（征求意见稿）》，其中专门就“商业秘密犯罪问题”做出了规定，这些均对知识产权司法保护产生了重要影响，也对知识产权法务、合规提出了更高的要求。</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二、组织机构</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主办单位：中国行为法学会培训合作中心</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1960" w:firstLineChars="7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上海市浦东新区知识产权协会</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1960" w:firstLineChars="700"/>
        <w:textAlignment w:val="auto"/>
        <w:rPr>
          <w:rFonts w:hint="default" w:ascii="宋体" w:hAnsi="宋体" w:eastAsia="宋体" w:cs="宋体"/>
          <w:sz w:val="28"/>
          <w:szCs w:val="28"/>
          <w:lang w:val="en-US" w:eastAsia="zh-CN"/>
        </w:rPr>
      </w:pPr>
      <w:r>
        <w:rPr>
          <w:rFonts w:hint="eastAsia" w:ascii="宋体" w:hAnsi="宋体" w:eastAsia="宋体" w:cs="宋体"/>
          <w:color w:val="000000"/>
          <w:sz w:val="28"/>
          <w:szCs w:val="28"/>
          <w:lang w:val="en-US" w:eastAsia="zh-CN"/>
        </w:rPr>
        <w:t>上海市闵行区知识产权协会</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黑体" w:hAnsi="宋体" w:eastAsia="黑体" w:cs="Times New Roman"/>
          <w:b/>
          <w:sz w:val="28"/>
          <w:szCs w:val="28"/>
          <w:lang w:val="en-US" w:eastAsia="zh-CN"/>
        </w:rPr>
      </w:pPr>
      <w:r>
        <w:rPr>
          <w:rFonts w:hint="eastAsia" w:ascii="黑体" w:hAnsi="宋体" w:eastAsia="黑体" w:cs="Times New Roman"/>
          <w:b/>
          <w:sz w:val="28"/>
          <w:szCs w:val="28"/>
          <w:lang w:val="en-US" w:eastAsia="zh-CN"/>
        </w:rPr>
        <w:t>三、课程收益</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1、实务专家深度解析《民法典》知识产权条款，尤其是商业秘密和技术合同规范的变化，及《民法典》实施对知识产权运用、保护产生的影响；</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探讨最高人民法院商业秘密司法解释征求意见稿，解锁原告胜诉率低、败诉率高的原因及应对策略；解密商业秘密抗辩技能；透析商业秘密被泄露、窃取的风险点及内控盲点，加强研发成果管理、技术秘密保护；</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3、解析技术合同的常见风险点以及技术合同案件疑难法律问题、抗辩要点、技能、误区，并针对性提出技术合同管理的对策和建议，以期帮助企业加强技术合同管理；</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4、分享行业经验，全面提升执业技能，加强执业风险防范。</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四、参加对象</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知识产权法官及知识产权司法工作人员；各企事业、科研单位负责人、企业知识产权总监（首席知识产权官）、法律顾问、法律主管、知识产权管理人员；知识产权律师；科研院所、知识产权及专利代理机构专业人士、相关负责人等。</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五、时间、地点</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报到日期：2020年9月11日</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讲座时间：2020年9月12日—13日</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讲座地点：上海市</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六、会议费用与参加办法</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1、参加线下学习的代表须交纳会议费3600元/人（含专家报告、场租、资料、三十学时证书等）；统一安排食宿，费用自理，报到时统一交纳。我们</w:t>
      </w:r>
      <w:r>
        <w:rPr>
          <w:rFonts w:hint="eastAsia" w:ascii="宋体" w:hAnsi="宋体" w:cs="宋体"/>
          <w:color w:val="000000"/>
          <w:sz w:val="28"/>
          <w:szCs w:val="28"/>
          <w:lang w:val="en-US" w:eastAsia="zh-CN"/>
        </w:rPr>
        <w:t>将</w:t>
      </w:r>
      <w:r>
        <w:rPr>
          <w:rFonts w:hint="eastAsia" w:ascii="宋体" w:hAnsi="宋体" w:eastAsia="宋体" w:cs="宋体"/>
          <w:color w:val="000000"/>
          <w:sz w:val="28"/>
          <w:szCs w:val="28"/>
          <w:lang w:val="en-US" w:eastAsia="zh-CN"/>
        </w:rPr>
        <w:t>于举办前七天将正式日程和报到通知发送给参会代表：</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宋体" w:hAnsi="宋体" w:eastAsia="宋体" w:cs="宋体"/>
          <w:b/>
          <w:bCs/>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会务组联系方式：</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联系人：施莉 包海容</w:t>
      </w: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邮  箱：</w:t>
      </w:r>
      <w:r>
        <w:rPr>
          <w:rFonts w:hint="eastAsia" w:ascii="宋体" w:hAnsi="宋体" w:eastAsia="宋体" w:cs="宋体"/>
          <w:color w:val="000000"/>
          <w:sz w:val="28"/>
          <w:szCs w:val="28"/>
          <w:lang w:val="en-US" w:eastAsia="zh-CN"/>
        </w:rPr>
        <w:fldChar w:fldCharType="begin"/>
      </w:r>
      <w:r>
        <w:rPr>
          <w:rFonts w:hint="eastAsia" w:ascii="宋体" w:hAnsi="宋体" w:eastAsia="宋体" w:cs="宋体"/>
          <w:color w:val="000000"/>
          <w:sz w:val="28"/>
          <w:szCs w:val="28"/>
          <w:lang w:val="en-US" w:eastAsia="zh-CN"/>
        </w:rPr>
        <w:instrText xml:space="preserve"> HYPERLINK "mailto:spippa@163.com" </w:instrText>
      </w:r>
      <w:r>
        <w:rPr>
          <w:rFonts w:hint="eastAsia" w:ascii="宋体" w:hAnsi="宋体" w:eastAsia="宋体" w:cs="宋体"/>
          <w:color w:val="000000"/>
          <w:sz w:val="28"/>
          <w:szCs w:val="28"/>
          <w:lang w:val="en-US" w:eastAsia="zh-CN"/>
        </w:rPr>
        <w:fldChar w:fldCharType="separate"/>
      </w:r>
      <w:r>
        <w:rPr>
          <w:rStyle w:val="11"/>
          <w:rFonts w:hint="eastAsia" w:ascii="宋体" w:hAnsi="宋体" w:eastAsia="宋体" w:cs="宋体"/>
          <w:color w:val="000000"/>
          <w:sz w:val="28"/>
          <w:szCs w:val="28"/>
          <w:lang w:val="en-US" w:eastAsia="zh-CN"/>
        </w:rPr>
        <w:t>spippa@163.com</w:t>
      </w:r>
      <w:r>
        <w:rPr>
          <w:rFonts w:hint="eastAsia" w:ascii="宋体" w:hAnsi="宋体" w:eastAsia="宋体" w:cs="宋体"/>
          <w:color w:val="000000"/>
          <w:sz w:val="28"/>
          <w:szCs w:val="28"/>
          <w:lang w:val="en-US" w:eastAsia="zh-CN"/>
        </w:rPr>
        <w:fldChar w:fldCharType="end"/>
      </w:r>
      <w:r>
        <w:rPr>
          <w:rFonts w:hint="eastAsia" w:ascii="宋体" w:hAnsi="宋体" w:eastAsia="宋体" w:cs="宋体"/>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eastAsia="黑体"/>
          <w:b/>
          <w:bCs/>
          <w:sz w:val="28"/>
        </w:rPr>
      </w:pPr>
      <w:r>
        <w:rPr>
          <w:rFonts w:hint="eastAsia" w:ascii="黑体" w:eastAsia="黑体"/>
          <w:b/>
          <w:bCs/>
          <w:sz w:val="28"/>
        </w:rPr>
        <w:t xml:space="preserve">    </w:t>
      </w:r>
      <w:r>
        <w:rPr>
          <w:rFonts w:ascii="黑体" w:eastAsia="黑体"/>
          <w:b/>
          <w:bCs/>
          <w:sz w:val="28"/>
        </w:rPr>
        <w:t>附件：1、日程安排</w:t>
      </w:r>
      <w:r>
        <w:rPr>
          <w:rFonts w:hint="eastAsia" w:ascii="黑体" w:eastAsia="黑体"/>
          <w:b/>
          <w:bCs/>
          <w:sz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945" w:firstLineChars="692"/>
        <w:textAlignment w:val="auto"/>
        <w:rPr>
          <w:rFonts w:hint="eastAsia" w:ascii="黑体" w:eastAsia="黑体"/>
          <w:b/>
          <w:bCs/>
          <w:sz w:val="28"/>
        </w:rPr>
      </w:pPr>
      <w:r>
        <w:rPr>
          <w:rFonts w:ascii="黑体" w:eastAsia="黑体"/>
          <w:b/>
          <w:bCs/>
          <w:sz w:val="28"/>
        </w:rPr>
        <w:t>2、报名表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rPr>
      </w:pPr>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4480" w:firstLineChars="16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中国行为法学会培训合作中心</w:t>
      </w:r>
    </w:p>
    <w:p>
      <w:pPr>
        <w:pStyle w:val="5"/>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上海市浦东新区知识产权协会</w:t>
      </w:r>
    </w:p>
    <w:p>
      <w:pPr>
        <w:pStyle w:val="5"/>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上海市闵行区知识产权协会</w:t>
      </w: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after="0" w:line="440" w:lineRule="exact"/>
        <w:ind w:left="0" w:leftChars="0" w:firstLine="4800" w:firstLineChars="2000"/>
        <w:textAlignment w:val="auto"/>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Cs/>
        </w:rPr>
      </w:pPr>
    </w:p>
    <w:p>
      <w:pPr>
        <w:pStyle w:val="5"/>
        <w:keepNext w:val="0"/>
        <w:keepLines w:val="0"/>
        <w:pageBreakBefore w:val="0"/>
        <w:widowControl w:val="0"/>
        <w:kinsoku/>
        <w:wordWrap/>
        <w:overflowPunct/>
        <w:topLinePunct w:val="0"/>
        <w:autoSpaceDE w:val="0"/>
        <w:autoSpaceDN w:val="0"/>
        <w:bidi w:val="0"/>
        <w:adjustRightInd w:val="0"/>
        <w:snapToGrid/>
        <w:spacing w:line="360" w:lineRule="exact"/>
        <w:ind w:firstLine="0"/>
        <w:textAlignment w:val="baseline"/>
        <w:rPr>
          <w:rFonts w:hint="eastAsia" w:ascii="宋体" w:hAnsi="宋体" w:eastAsia="宋体"/>
          <w:b/>
          <w:bCs/>
          <w:sz w:val="21"/>
          <w:szCs w:val="21"/>
        </w:rPr>
      </w:pPr>
      <w:r>
        <w:rPr>
          <w:rFonts w:hint="eastAsia" w:ascii="宋体" w:hAnsi="宋体" w:eastAsia="宋体"/>
          <w:bCs/>
        </w:rPr>
        <w:t>附件1：讲座日程安排</w:t>
      </w:r>
    </w:p>
    <w:tbl>
      <w:tblPr>
        <w:tblStyle w:val="7"/>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391" w:type="dxa"/>
            <w:noWrap w:val="0"/>
            <w:vAlign w:val="center"/>
          </w:tcPr>
          <w:p>
            <w:pPr>
              <w:spacing w:line="400" w:lineRule="exact"/>
              <w:jc w:val="center"/>
              <w:rPr>
                <w:rFonts w:hint="eastAsia" w:ascii="宋体" w:hAnsi="宋体"/>
                <w:b/>
                <w:bCs/>
                <w:szCs w:val="21"/>
              </w:rPr>
            </w:pPr>
            <w:r>
              <w:rPr>
                <w:rFonts w:hint="eastAsia" w:ascii="宋体" w:hAnsi="宋体"/>
                <w:b/>
                <w:bCs/>
                <w:szCs w:val="21"/>
                <w:lang w:val="en-US" w:eastAsia="zh-CN"/>
              </w:rPr>
              <w:t>9</w:t>
            </w:r>
            <w:r>
              <w:rPr>
                <w:rFonts w:hint="eastAsia" w:ascii="宋体" w:hAnsi="宋体"/>
                <w:b/>
                <w:bCs/>
                <w:szCs w:val="21"/>
              </w:rPr>
              <w:t>月</w:t>
            </w:r>
            <w:r>
              <w:rPr>
                <w:rFonts w:hint="eastAsia" w:ascii="宋体" w:hAnsi="宋体"/>
                <w:b/>
                <w:bCs/>
                <w:szCs w:val="21"/>
                <w:lang w:val="en-US" w:eastAsia="zh-CN"/>
              </w:rPr>
              <w:t>12</w:t>
            </w:r>
            <w:r>
              <w:rPr>
                <w:rFonts w:hint="eastAsia" w:ascii="宋体" w:hAnsi="宋体"/>
                <w:b/>
                <w:bCs/>
                <w:szCs w:val="21"/>
              </w:rPr>
              <w:t>日</w:t>
            </w:r>
          </w:p>
          <w:p>
            <w:pPr>
              <w:spacing w:line="400" w:lineRule="exact"/>
              <w:jc w:val="center"/>
              <w:rPr>
                <w:rFonts w:hint="eastAsia" w:ascii="宋体" w:hAnsi="宋体"/>
                <w:b/>
                <w:bCs/>
                <w:szCs w:val="21"/>
              </w:rPr>
            </w:pPr>
            <w:r>
              <w:rPr>
                <w:rFonts w:hint="eastAsia" w:ascii="宋体" w:hAnsi="宋体"/>
                <w:b/>
                <w:bCs/>
                <w:szCs w:val="21"/>
              </w:rPr>
              <w:t>（星期</w:t>
            </w:r>
            <w:r>
              <w:rPr>
                <w:rFonts w:hint="eastAsia" w:ascii="宋体" w:hAnsi="宋体"/>
                <w:b/>
                <w:bCs/>
                <w:szCs w:val="21"/>
                <w:lang w:eastAsia="zh-CN"/>
              </w:rPr>
              <w:t>六</w:t>
            </w:r>
            <w:r>
              <w:rPr>
                <w:rFonts w:hint="eastAsia" w:ascii="宋体" w:hAnsi="宋体"/>
                <w:b/>
                <w:bCs/>
                <w:szCs w:val="21"/>
              </w:rPr>
              <w:t>）</w:t>
            </w:r>
          </w:p>
          <w:p>
            <w:pPr>
              <w:spacing w:line="400" w:lineRule="exact"/>
              <w:jc w:val="center"/>
              <w:rPr>
                <w:rFonts w:hint="eastAsia" w:ascii="宋体" w:hAnsi="宋体"/>
                <w:b/>
                <w:bCs/>
                <w:szCs w:val="21"/>
              </w:rPr>
            </w:pPr>
            <w:r>
              <w:rPr>
                <w:rFonts w:hint="eastAsia" w:ascii="宋体" w:hAnsi="宋体"/>
                <w:b/>
                <w:bCs/>
                <w:szCs w:val="21"/>
              </w:rPr>
              <w:t>9:00-12:00</w:t>
            </w:r>
          </w:p>
          <w:p>
            <w:pPr>
              <w:spacing w:line="400" w:lineRule="exact"/>
              <w:jc w:val="center"/>
              <w:rPr>
                <w:rFonts w:hint="eastAsia" w:ascii="宋体" w:hAnsi="宋体"/>
                <w:b/>
                <w:bCs/>
                <w:szCs w:val="21"/>
              </w:rPr>
            </w:pPr>
            <w:r>
              <w:rPr>
                <w:rFonts w:hint="eastAsia" w:ascii="宋体" w:hAnsi="宋体"/>
                <w:b/>
                <w:bCs/>
                <w:szCs w:val="21"/>
              </w:rPr>
              <w:t>1</w:t>
            </w:r>
            <w:r>
              <w:rPr>
                <w:rFonts w:hint="eastAsia" w:ascii="宋体" w:hAnsi="宋体"/>
                <w:b/>
                <w:bCs/>
                <w:szCs w:val="21"/>
                <w:lang w:val="en-US" w:eastAsia="zh-CN"/>
              </w:rPr>
              <w:t>3</w:t>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0-1</w:t>
            </w:r>
            <w:r>
              <w:rPr>
                <w:rFonts w:hint="eastAsia" w:ascii="宋体" w:hAnsi="宋体"/>
                <w:b/>
                <w:bCs/>
                <w:szCs w:val="21"/>
                <w:lang w:val="en-US" w:eastAsia="zh-CN"/>
              </w:rPr>
              <w:t>6</w:t>
            </w: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0</w:t>
            </w:r>
          </w:p>
        </w:tc>
        <w:tc>
          <w:tcPr>
            <w:tcW w:w="8535" w:type="dxa"/>
            <w:noWrap w:val="0"/>
            <w:vAlign w:val="center"/>
          </w:tcPr>
          <w:p>
            <w:pPr>
              <w:keepNext w:val="0"/>
              <w:keepLines w:val="0"/>
              <w:pageBreakBefore w:val="0"/>
              <w:widowControl w:val="0"/>
              <w:kinsoku/>
              <w:wordWrap/>
              <w:overflowPunct/>
              <w:topLinePunct w:val="0"/>
              <w:autoSpaceDE/>
              <w:autoSpaceDN/>
              <w:bidi w:val="0"/>
              <w:adjustRightInd/>
              <w:snapToGrid/>
              <w:spacing w:before="46" w:beforeLines="15" w:after="46" w:afterLines="15" w:line="224" w:lineRule="exact"/>
              <w:textAlignment w:val="auto"/>
              <w:rPr>
                <w:rFonts w:hint="eastAsia" w:ascii="Calibri" w:hAnsi="Calibri" w:eastAsia="宋体" w:cs="Times New Roman"/>
                <w:b/>
                <w:bCs/>
                <w:lang w:val="en-US" w:eastAsia="zh-CN"/>
              </w:rPr>
            </w:pPr>
            <w:r>
              <w:rPr>
                <w:rFonts w:hint="eastAsia" w:ascii="Calibri" w:hAnsi="Calibri" w:eastAsia="宋体" w:cs="Times New Roman"/>
                <w:b/>
                <w:bCs/>
                <w:lang w:val="en-US" w:eastAsia="zh-CN"/>
              </w:rPr>
              <w:t>（一）《民法典》技术合同条款精讲</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1、技术合同分类的方法、标准及后果            2、技术合同的风险负担</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3、技术合同的关键条款</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4、职务技术成果的认定与权利行使规则          5、技术成果共有权利行使的特殊规则</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6、技术合同无效的特殊规则                    7、技术合同的撤销与解除</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（二）技术合同的常见风险点</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1、重要条款缺失</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（1）技术需求条款</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（2）技术资料条款</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（3）验收标准条款</w:t>
            </w:r>
          </w:p>
          <w:p>
            <w:pPr>
              <w:keepNext w:val="0"/>
              <w:keepLines w:val="0"/>
              <w:pageBreakBefore w:val="0"/>
              <w:widowControl w:val="0"/>
              <w:kinsoku/>
              <w:wordWrap/>
              <w:overflowPunct/>
              <w:topLinePunct w:val="0"/>
              <w:autoSpaceDE/>
              <w:autoSpaceDN/>
              <w:bidi w:val="0"/>
              <w:adjustRightInd/>
              <w:snapToGrid/>
              <w:spacing w:line="224" w:lineRule="exact"/>
              <w:ind w:firstLine="1680" w:firstLineChars="80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（4）技术成果归属条款</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（5）详细对价条款</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（6）技术改进条款</w:t>
            </w:r>
          </w:p>
          <w:p>
            <w:pPr>
              <w:keepNext w:val="0"/>
              <w:keepLines w:val="0"/>
              <w:pageBreakBefore w:val="0"/>
              <w:widowControl w:val="0"/>
              <w:kinsoku/>
              <w:wordWrap/>
              <w:overflowPunct/>
              <w:topLinePunct w:val="0"/>
              <w:autoSpaceDE/>
              <w:autoSpaceDN/>
              <w:bidi w:val="0"/>
              <w:adjustRightInd/>
              <w:snapToGrid/>
              <w:spacing w:line="224" w:lineRule="exact"/>
              <w:ind w:firstLine="1680" w:firstLineChars="80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（7）风险负担条款</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（8）解约条款</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（9）违约金条款</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2、证据意识薄弱</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（1）磋商证据</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（2）交付证据</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（3）测试、验收证据</w:t>
            </w:r>
          </w:p>
          <w:p>
            <w:pPr>
              <w:keepNext w:val="0"/>
              <w:keepLines w:val="0"/>
              <w:pageBreakBefore w:val="0"/>
              <w:widowControl w:val="0"/>
              <w:kinsoku/>
              <w:wordWrap/>
              <w:overflowPunct/>
              <w:topLinePunct w:val="0"/>
              <w:autoSpaceDE/>
              <w:autoSpaceDN/>
              <w:bidi w:val="0"/>
              <w:adjustRightInd/>
              <w:snapToGrid/>
              <w:spacing w:line="224" w:lineRule="exact"/>
              <w:ind w:firstLine="210" w:firstLineChars="10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（4）变更合同的证据</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（5）通知的证据（解除）</w:t>
            </w:r>
          </w:p>
          <w:p>
            <w:pPr>
              <w:keepNext w:val="0"/>
              <w:keepLines w:val="0"/>
              <w:pageBreakBefore w:val="0"/>
              <w:widowControl w:val="0"/>
              <w:kinsoku/>
              <w:wordWrap/>
              <w:overflowPunct/>
              <w:topLinePunct w:val="0"/>
              <w:autoSpaceDE/>
              <w:autoSpaceDN/>
              <w:bidi w:val="0"/>
              <w:adjustRightInd/>
              <w:snapToGrid/>
              <w:spacing w:line="224" w:lineRule="exact"/>
              <w:ind w:firstLine="210" w:firstLineChars="10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（6）迟延、失败、不合格原因分析证据</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（7）委托方另行委托或自行开发的证据</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（三）技术合同案件疑难法律问题</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1、共有权利行使</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2、合同效力</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3、合同撤销</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4、合同解除</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5、违约责任</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6、违约金</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（四）抗辩要点、技能、误区</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1、全面抗辩</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2、区分抗辩、反诉和未提出抗辩</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3、精确抗辩</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（五）技术合同管理的对策和建议</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1、签订书面合同</w:t>
            </w:r>
            <w:r>
              <w:rPr>
                <w:rFonts w:hint="eastAsia" w:ascii="宋体" w:hAnsi="宋体" w:cs="Times New Roman"/>
                <w:szCs w:val="21"/>
                <w:lang w:val="en-US" w:eastAsia="zh-CN"/>
              </w:rPr>
              <w:t xml:space="preserve">   </w:t>
            </w:r>
            <w:r>
              <w:rPr>
                <w:rFonts w:hint="eastAsia" w:ascii="宋体" w:hAnsi="宋体" w:eastAsia="宋体" w:cs="Times New Roman"/>
                <w:szCs w:val="21"/>
                <w:lang w:val="en-US" w:eastAsia="zh-CN"/>
              </w:rPr>
              <w:t xml:space="preserve">2、妥善保管证据  3、谋定后动，先胜后战   </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宋体" w:hAnsi="宋体" w:eastAsia="宋体" w:cs="Times New Roman"/>
                <w:szCs w:val="21"/>
                <w:lang w:val="en-US" w:eastAsia="zh-CN"/>
              </w:rPr>
            </w:pPr>
            <w:r>
              <w:rPr>
                <w:rFonts w:hint="eastAsia"/>
                <w:b/>
                <w:bCs/>
              </w:rPr>
              <w:t>主讲专家：</w:t>
            </w:r>
            <w:r>
              <w:rPr>
                <w:rFonts w:hint="eastAsia"/>
                <w:b/>
                <w:bCs/>
                <w:lang w:val="en-US" w:eastAsia="zh-CN"/>
              </w:rPr>
              <w:t>蒋强，原</w:t>
            </w:r>
            <w:r>
              <w:rPr>
                <w:rFonts w:hint="eastAsia"/>
                <w:b/>
                <w:bCs/>
              </w:rPr>
              <w:t>北京市高级人民法院知识产权庭法官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391" w:type="dxa"/>
            <w:noWrap w:val="0"/>
            <w:vAlign w:val="center"/>
          </w:tcPr>
          <w:p>
            <w:pPr>
              <w:spacing w:line="400" w:lineRule="exact"/>
              <w:jc w:val="center"/>
              <w:rPr>
                <w:rFonts w:hint="eastAsia" w:ascii="宋体" w:hAnsi="宋体"/>
                <w:b/>
                <w:bCs/>
                <w:szCs w:val="21"/>
              </w:rPr>
            </w:pPr>
            <w:r>
              <w:rPr>
                <w:rFonts w:hint="eastAsia" w:ascii="宋体" w:hAnsi="宋体"/>
                <w:b/>
                <w:bCs/>
                <w:szCs w:val="21"/>
                <w:lang w:val="en-US" w:eastAsia="zh-CN"/>
              </w:rPr>
              <w:t>9</w:t>
            </w:r>
            <w:r>
              <w:rPr>
                <w:rFonts w:hint="eastAsia" w:ascii="宋体" w:hAnsi="宋体"/>
                <w:b/>
                <w:bCs/>
                <w:szCs w:val="21"/>
              </w:rPr>
              <w:t>月</w:t>
            </w:r>
            <w:r>
              <w:rPr>
                <w:rFonts w:hint="eastAsia" w:ascii="宋体" w:hAnsi="宋体"/>
                <w:b/>
                <w:bCs/>
                <w:szCs w:val="21"/>
                <w:lang w:val="en-US" w:eastAsia="zh-CN"/>
              </w:rPr>
              <w:t>12</w:t>
            </w:r>
            <w:r>
              <w:rPr>
                <w:rFonts w:hint="eastAsia" w:ascii="宋体" w:hAnsi="宋体"/>
                <w:b/>
                <w:bCs/>
                <w:szCs w:val="21"/>
              </w:rPr>
              <w:t>日</w:t>
            </w:r>
          </w:p>
          <w:p>
            <w:pPr>
              <w:spacing w:line="400" w:lineRule="exact"/>
              <w:jc w:val="center"/>
              <w:rPr>
                <w:rFonts w:hint="eastAsia" w:ascii="宋体" w:hAnsi="宋体"/>
                <w:b/>
                <w:bCs/>
                <w:szCs w:val="21"/>
              </w:rPr>
            </w:pPr>
            <w:r>
              <w:rPr>
                <w:rFonts w:hint="eastAsia" w:ascii="宋体" w:hAnsi="宋体"/>
                <w:b/>
                <w:bCs/>
                <w:szCs w:val="21"/>
              </w:rPr>
              <w:t>（星期</w:t>
            </w:r>
            <w:r>
              <w:rPr>
                <w:rFonts w:hint="eastAsia" w:ascii="宋体" w:hAnsi="宋体"/>
                <w:b/>
                <w:bCs/>
                <w:szCs w:val="21"/>
                <w:lang w:eastAsia="zh-CN"/>
              </w:rPr>
              <w:t>六</w:t>
            </w:r>
            <w:r>
              <w:rPr>
                <w:rFonts w:hint="eastAsia" w:ascii="宋体" w:hAnsi="宋体"/>
                <w:b/>
                <w:bCs/>
                <w:szCs w:val="21"/>
              </w:rPr>
              <w:t>）</w:t>
            </w:r>
          </w:p>
          <w:p>
            <w:pPr>
              <w:spacing w:line="400" w:lineRule="exact"/>
              <w:jc w:val="center"/>
              <w:rPr>
                <w:rFonts w:hint="eastAsia" w:ascii="宋体" w:hAnsi="宋体"/>
                <w:b/>
                <w:bCs/>
                <w:szCs w:val="21"/>
              </w:rPr>
            </w:pPr>
            <w:r>
              <w:rPr>
                <w:rFonts w:hint="eastAsia" w:ascii="宋体" w:hAnsi="宋体"/>
                <w:b/>
                <w:bCs/>
                <w:szCs w:val="21"/>
              </w:rPr>
              <w:t>1</w:t>
            </w:r>
            <w:r>
              <w:rPr>
                <w:rFonts w:hint="eastAsia" w:ascii="宋体" w:hAnsi="宋体"/>
                <w:b/>
                <w:bCs/>
                <w:szCs w:val="21"/>
                <w:lang w:val="en-US" w:eastAsia="zh-CN"/>
              </w:rPr>
              <w:t>6</w:t>
            </w:r>
            <w:r>
              <w:rPr>
                <w:rFonts w:hint="eastAsia" w:ascii="宋体" w:hAnsi="宋体"/>
                <w:b/>
                <w:bCs/>
                <w:szCs w:val="21"/>
              </w:rPr>
              <w:t>:</w:t>
            </w:r>
            <w:r>
              <w:rPr>
                <w:rFonts w:hint="eastAsia" w:ascii="宋体" w:hAnsi="宋体"/>
                <w:b/>
                <w:bCs/>
                <w:szCs w:val="21"/>
                <w:lang w:val="en-US" w:eastAsia="zh-CN"/>
              </w:rPr>
              <w:t>4</w:t>
            </w:r>
            <w:r>
              <w:rPr>
                <w:rFonts w:hint="eastAsia" w:ascii="宋体" w:hAnsi="宋体"/>
                <w:b/>
                <w:bCs/>
                <w:szCs w:val="21"/>
              </w:rPr>
              <w:t>0-1</w:t>
            </w:r>
            <w:r>
              <w:rPr>
                <w:rFonts w:hint="eastAsia" w:ascii="宋体" w:hAnsi="宋体"/>
                <w:b/>
                <w:bCs/>
                <w:szCs w:val="21"/>
                <w:lang w:val="en-US" w:eastAsia="zh-CN"/>
              </w:rPr>
              <w:t>7</w:t>
            </w:r>
            <w:r>
              <w:rPr>
                <w:rFonts w:hint="eastAsia" w:ascii="宋体" w:hAnsi="宋体"/>
                <w:b/>
                <w:bCs/>
                <w:szCs w:val="21"/>
              </w:rPr>
              <w:t>:</w:t>
            </w:r>
            <w:r>
              <w:rPr>
                <w:rFonts w:hint="eastAsia" w:ascii="宋体" w:hAnsi="宋体"/>
                <w:b/>
                <w:bCs/>
                <w:szCs w:val="21"/>
                <w:lang w:val="en-US" w:eastAsia="zh-CN"/>
              </w:rPr>
              <w:t>4</w:t>
            </w:r>
            <w:r>
              <w:rPr>
                <w:rFonts w:hint="eastAsia" w:ascii="宋体" w:hAnsi="宋体"/>
                <w:b/>
                <w:bCs/>
                <w:szCs w:val="21"/>
              </w:rPr>
              <w:t>0</w:t>
            </w:r>
          </w:p>
        </w:tc>
        <w:tc>
          <w:tcPr>
            <w:tcW w:w="8535" w:type="dxa"/>
            <w:noWrap w:val="0"/>
            <w:vAlign w:val="center"/>
          </w:tcPr>
          <w:p>
            <w:pPr>
              <w:rPr>
                <w:rFonts w:hint="eastAsia"/>
                <w:b/>
                <w:bCs/>
                <w:lang w:val="en-US" w:eastAsia="zh-CN"/>
              </w:rPr>
            </w:pPr>
            <w:r>
              <w:rPr>
                <w:rFonts w:hint="eastAsia"/>
                <w:b/>
                <w:bCs/>
                <w:lang w:val="en-US" w:eastAsia="zh-CN"/>
              </w:rPr>
              <w:t>经典案例分享：科创板上市过程中知识产权维权保护与恶意诉讼防范</w:t>
            </w:r>
          </w:p>
          <w:p>
            <w:pPr>
              <w:rPr>
                <w:rFonts w:hint="eastAsia"/>
                <w:b w:val="0"/>
                <w:bCs w:val="0"/>
                <w:lang w:val="en-US" w:eastAsia="zh-CN"/>
              </w:rPr>
            </w:pPr>
            <w:r>
              <w:rPr>
                <w:rFonts w:hint="eastAsia"/>
                <w:b w:val="0"/>
                <w:bCs w:val="0"/>
                <w:lang w:val="en-US" w:eastAsia="zh-CN"/>
              </w:rPr>
              <w:t>一、科创板上市企业之知识产权数据分析</w:t>
            </w:r>
          </w:p>
          <w:p>
            <w:pPr>
              <w:rPr>
                <w:rFonts w:hint="eastAsia"/>
                <w:b w:val="0"/>
                <w:bCs w:val="0"/>
                <w:lang w:val="en-US" w:eastAsia="zh-CN"/>
              </w:rPr>
            </w:pPr>
            <w:r>
              <w:rPr>
                <w:rFonts w:hint="eastAsia"/>
                <w:b w:val="0"/>
                <w:bCs w:val="0"/>
                <w:lang w:val="en-US" w:eastAsia="zh-CN"/>
              </w:rPr>
              <w:t>二、科创板上市企业之恶意诉讼应对策略</w:t>
            </w:r>
          </w:p>
          <w:p>
            <w:pPr>
              <w:rPr>
                <w:rFonts w:hint="eastAsia"/>
                <w:b w:val="0"/>
                <w:bCs w:val="0"/>
                <w:lang w:val="en-US" w:eastAsia="zh-CN"/>
              </w:rPr>
            </w:pPr>
            <w:r>
              <w:rPr>
                <w:rFonts w:hint="eastAsia"/>
                <w:b w:val="0"/>
                <w:bCs w:val="0"/>
                <w:lang w:val="en-US" w:eastAsia="zh-CN"/>
              </w:rPr>
              <w:t>三、科创板上市企业之知识产权风险规避</w:t>
            </w:r>
          </w:p>
          <w:p>
            <w:pPr>
              <w:rPr>
                <w:rFonts w:hint="eastAsia" w:ascii="Times New Roman" w:hAnsi="Times New Roman" w:eastAsia="宋体" w:cs="Times New Roman"/>
                <w:b/>
                <w:bCs/>
                <w:color w:val="auto"/>
                <w:kern w:val="2"/>
                <w:sz w:val="21"/>
                <w:szCs w:val="21"/>
                <w:lang w:val="en-US" w:eastAsia="zh-CN"/>
              </w:rPr>
            </w:pPr>
            <w:r>
              <w:rPr>
                <w:rFonts w:hint="eastAsia"/>
                <w:b/>
                <w:bCs/>
              </w:rPr>
              <w:t>主讲专家：郭国中</w:t>
            </w:r>
            <w:r>
              <w:rPr>
                <w:rFonts w:hint="eastAsia"/>
                <w:b/>
                <w:bCs/>
                <w:lang w:val="en-US" w:eastAsia="zh-CN"/>
              </w:rPr>
              <w:t>，</w:t>
            </w:r>
            <w:r>
              <w:rPr>
                <w:rFonts w:hint="eastAsia"/>
                <w:b/>
                <w:bCs/>
              </w:rPr>
              <w:t>上海市闵行区知识产权保护协会秘书长、执行副会长</w:t>
            </w:r>
            <w:r>
              <w:rPr>
                <w:rFonts w:hint="eastAsia"/>
                <w:b/>
                <w:bCs/>
                <w:lang w:eastAsia="zh-CN"/>
              </w:rPr>
              <w:t>，</w:t>
            </w:r>
            <w:r>
              <w:rPr>
                <w:b/>
                <w:bCs/>
              </w:rPr>
              <w:t>全国知识产权师资</w:t>
            </w:r>
            <w:r>
              <w:rPr>
                <w:rFonts w:hint="eastAsia"/>
                <w:b/>
                <w:bCs/>
              </w:rPr>
              <w:t>成员</w:t>
            </w:r>
            <w:r>
              <w:rPr>
                <w:rFonts w:hint="eastAsia"/>
                <w:b/>
                <w:bCs/>
                <w:lang w:eastAsia="zh-CN"/>
              </w:rPr>
              <w:t>、</w:t>
            </w:r>
            <w:r>
              <w:rPr>
                <w:rFonts w:hint="eastAsia"/>
                <w:b/>
                <w:bCs/>
              </w:rPr>
              <w:t>长三角知识产权发展联盟秘书长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391" w:type="dxa"/>
            <w:noWrap w:val="0"/>
            <w:vAlign w:val="center"/>
          </w:tcPr>
          <w:p>
            <w:pPr>
              <w:spacing w:line="400" w:lineRule="exact"/>
              <w:jc w:val="center"/>
              <w:rPr>
                <w:rFonts w:hint="eastAsia" w:ascii="宋体" w:hAnsi="宋体"/>
                <w:b/>
                <w:bCs/>
                <w:szCs w:val="21"/>
              </w:rPr>
            </w:pPr>
            <w:r>
              <w:rPr>
                <w:rFonts w:hint="eastAsia" w:ascii="宋体" w:hAnsi="宋体"/>
                <w:b/>
                <w:bCs/>
                <w:szCs w:val="21"/>
                <w:lang w:val="en-US" w:eastAsia="zh-CN"/>
              </w:rPr>
              <w:t>9</w:t>
            </w:r>
            <w:r>
              <w:rPr>
                <w:rFonts w:hint="eastAsia" w:ascii="宋体" w:hAnsi="宋体"/>
                <w:b/>
                <w:bCs/>
                <w:szCs w:val="21"/>
              </w:rPr>
              <w:t>月</w:t>
            </w:r>
            <w:r>
              <w:rPr>
                <w:rFonts w:hint="eastAsia" w:ascii="宋体" w:hAnsi="宋体"/>
                <w:b/>
                <w:bCs/>
                <w:szCs w:val="21"/>
                <w:lang w:val="en-US" w:eastAsia="zh-CN"/>
              </w:rPr>
              <w:t>13</w:t>
            </w:r>
            <w:r>
              <w:rPr>
                <w:rFonts w:hint="eastAsia" w:ascii="宋体" w:hAnsi="宋体"/>
                <w:b/>
                <w:bCs/>
                <w:szCs w:val="21"/>
              </w:rPr>
              <w:t>日</w:t>
            </w:r>
          </w:p>
          <w:p>
            <w:pPr>
              <w:spacing w:line="400" w:lineRule="exact"/>
              <w:jc w:val="center"/>
              <w:rPr>
                <w:rFonts w:hint="eastAsia" w:ascii="宋体" w:hAnsi="宋体"/>
                <w:b/>
                <w:bCs/>
                <w:szCs w:val="21"/>
              </w:rPr>
            </w:pPr>
            <w:r>
              <w:rPr>
                <w:rFonts w:hint="eastAsia" w:ascii="宋体" w:hAnsi="宋体"/>
                <w:b/>
                <w:bCs/>
                <w:szCs w:val="21"/>
              </w:rPr>
              <w:t>（星期</w:t>
            </w:r>
            <w:r>
              <w:rPr>
                <w:rFonts w:hint="eastAsia" w:ascii="宋体" w:hAnsi="宋体"/>
                <w:b/>
                <w:bCs/>
                <w:szCs w:val="21"/>
                <w:lang w:eastAsia="zh-CN"/>
              </w:rPr>
              <w:t>日</w:t>
            </w:r>
            <w:r>
              <w:rPr>
                <w:rFonts w:hint="eastAsia" w:ascii="宋体" w:hAnsi="宋体"/>
                <w:b/>
                <w:bCs/>
                <w:szCs w:val="21"/>
              </w:rPr>
              <w:t>）</w:t>
            </w:r>
          </w:p>
          <w:p>
            <w:pPr>
              <w:spacing w:line="400" w:lineRule="exact"/>
              <w:jc w:val="center"/>
              <w:rPr>
                <w:rFonts w:hint="eastAsia" w:ascii="宋体" w:hAnsi="宋体"/>
                <w:b/>
                <w:bCs/>
                <w:szCs w:val="21"/>
              </w:rPr>
            </w:pPr>
            <w:r>
              <w:rPr>
                <w:rFonts w:hint="eastAsia" w:ascii="宋体" w:hAnsi="宋体"/>
                <w:b/>
                <w:bCs/>
                <w:szCs w:val="21"/>
              </w:rPr>
              <w:t>9:00-12:00</w:t>
            </w:r>
          </w:p>
          <w:p>
            <w:pPr>
              <w:spacing w:line="400" w:lineRule="exact"/>
              <w:jc w:val="center"/>
              <w:rPr>
                <w:rFonts w:hint="eastAsia" w:ascii="宋体" w:hAnsi="宋体"/>
                <w:b/>
                <w:bCs/>
                <w:szCs w:val="21"/>
              </w:rPr>
            </w:pPr>
            <w:r>
              <w:rPr>
                <w:rFonts w:hint="eastAsia" w:ascii="宋体" w:hAnsi="宋体"/>
                <w:b/>
                <w:bCs/>
                <w:szCs w:val="21"/>
              </w:rPr>
              <w:t>14:00-17:00</w:t>
            </w:r>
          </w:p>
        </w:tc>
        <w:tc>
          <w:tcPr>
            <w:tcW w:w="8535"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default"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一、企业商业秘密保护、诉讼策略与企业内控风险防范——结合《民法典》、最高人民法院《商业秘密司法解释（征求意见稿）》及《知识产权刑事案件司法解释（三）（征求意见稿）》</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default"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1、《民法典》关于“商业秘密的构成与保密义务的性质”的条款解析</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default"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2、最高人民法院《商业秘密司法解释（征求意见稿）》重要问题解析与企业应对策略</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3、两高《知识产权刑事案件司法解释（三）（征求意见稿）》“商业秘密犯罪问题”解析</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4、商业秘密被泄露、窃取的风险点的主要体现及企业内控盲点</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二、商业秘密抗辩、借力取证、刑事为王与企业商业秘密管理——心得分享</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（一）原告胜诉率低，败诉率高的五大原因及应对策略（详见现场解析）</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（二）借力取证，刑事为王</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1、对侵权者上下游企业远交近攻            2、请求行政执法，取得证据</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3、申请法院调查取证                      4、申请证据保全</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5、先刑后民，固定侵权事实，实现高额赔偿  6、先行后民，加大非罪侵权打击力度</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7、借力取证——案例                      8、先刑后民——案例</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（三）商业秘密诉讼的特殊程序抗辩</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1、商业秘密VS竞业禁止                   2、劳动争议先裁后审</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（四）商业秘密诉讼的实体抗辩——典型案例</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left="0" w:leftChars="0" w:firstLine="0" w:firstLineChars="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 xml:space="preserve">1、商业秘密构成要件抗辩  </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2、不侵权抗辩 （1）未接触抗辩      （2）不相似抗辩      （3）独立开发抗辩</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left="0" w:leftChars="0" w:firstLine="0" w:firstLineChars="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（4）情报分析抗辩 （5）反向工程抗辩（6）合法继受抗辩</w:t>
            </w:r>
            <w:r>
              <w:rPr>
                <w:rFonts w:hint="eastAsia" w:ascii="Times New Roman" w:eastAsia="宋体" w:cs="Times New Roman"/>
                <w:b w:val="0"/>
                <w:bCs w:val="0"/>
                <w:color w:val="auto"/>
                <w:kern w:val="2"/>
                <w:sz w:val="21"/>
                <w:szCs w:val="21"/>
                <w:lang w:val="en-US" w:eastAsia="zh-CN"/>
              </w:rPr>
              <w:t xml:space="preserve">    </w:t>
            </w:r>
            <w:r>
              <w:rPr>
                <w:rFonts w:hint="eastAsia" w:ascii="Times New Roman" w:hAnsi="Times New Roman" w:eastAsia="宋体" w:cs="Times New Roman"/>
                <w:b w:val="0"/>
                <w:bCs w:val="0"/>
                <w:color w:val="auto"/>
                <w:kern w:val="2"/>
                <w:sz w:val="21"/>
                <w:szCs w:val="21"/>
                <w:lang w:val="en-US" w:eastAsia="zh-CN"/>
              </w:rPr>
              <w:t>（7）善意取得抗辩</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3、客户名单的特殊抗辩    （1）投入抗辩/获取难度抗辩     （2）信息深度抗辩</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4、诉讼技术抗辩   （1）秘密点抗辩    （2）事实抗辩      （3）举证责任抗辩</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（五）企业商业秘密管理的几点建议</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1、企业十一大商业秘密管理要点建议        2、商业秘密备案内容与方式</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3、企业核心技术人员的商业秘密管理        4、企业研发成果管理、技术秘密保护</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val="0"/>
                <w:bCs w:val="0"/>
                <w:color w:val="auto"/>
                <w:kern w:val="2"/>
                <w:sz w:val="21"/>
                <w:szCs w:val="21"/>
                <w:lang w:val="en-US" w:eastAsia="zh-CN"/>
              </w:rPr>
            </w:pPr>
            <w:r>
              <w:rPr>
                <w:rFonts w:hint="eastAsia" w:ascii="Times New Roman" w:hAnsi="Times New Roman" w:eastAsia="宋体" w:cs="Times New Roman"/>
                <w:b w:val="0"/>
                <w:bCs w:val="0"/>
                <w:color w:val="auto"/>
                <w:kern w:val="2"/>
                <w:sz w:val="21"/>
                <w:szCs w:val="21"/>
                <w:lang w:val="en-US" w:eastAsia="zh-CN"/>
              </w:rPr>
              <w:t>5、知识产权交易中商业秘密的风险控制策略</w:t>
            </w:r>
          </w:p>
          <w:p>
            <w:pPr>
              <w:pStyle w:val="5"/>
              <w:keepNext w:val="0"/>
              <w:keepLines w:val="0"/>
              <w:pageBreakBefore w:val="0"/>
              <w:widowControl w:val="0"/>
              <w:kinsoku/>
              <w:wordWrap/>
              <w:overflowPunct/>
              <w:topLinePunct w:val="0"/>
              <w:autoSpaceDE/>
              <w:autoSpaceDN/>
              <w:bidi w:val="0"/>
              <w:adjustRightInd/>
              <w:snapToGrid/>
              <w:spacing w:before="40" w:beforeLines="13" w:after="40" w:afterLines="13" w:line="224" w:lineRule="exact"/>
              <w:ind w:firstLine="0"/>
              <w:jc w:val="both"/>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主讲专家：张学军，原</w:t>
            </w:r>
            <w:r>
              <w:rPr>
                <w:rFonts w:hint="eastAsia" w:ascii="Times New Roman" w:eastAsia="宋体" w:cs="Times New Roman"/>
                <w:b/>
                <w:bCs/>
                <w:color w:val="auto"/>
                <w:kern w:val="2"/>
                <w:sz w:val="21"/>
                <w:szCs w:val="21"/>
                <w:lang w:val="en-US" w:eastAsia="zh-CN"/>
              </w:rPr>
              <w:t>广东省</w:t>
            </w:r>
            <w:r>
              <w:rPr>
                <w:rFonts w:hint="eastAsia" w:ascii="Times New Roman" w:hAnsi="Times New Roman" w:eastAsia="宋体" w:cs="Times New Roman"/>
                <w:b/>
                <w:bCs/>
                <w:color w:val="auto"/>
                <w:kern w:val="2"/>
                <w:sz w:val="21"/>
                <w:szCs w:val="21"/>
                <w:lang w:val="en-US" w:eastAsia="zh-CN"/>
              </w:rPr>
              <w:t>高级人民法院知识产权庭</w:t>
            </w:r>
            <w:r>
              <w:rPr>
                <w:rFonts w:hint="eastAsia" w:ascii="Times New Roman" w:eastAsia="宋体" w:cs="Times New Roman"/>
                <w:b/>
                <w:bCs/>
                <w:color w:val="auto"/>
                <w:kern w:val="2"/>
                <w:sz w:val="21"/>
                <w:szCs w:val="21"/>
                <w:lang w:val="en-US" w:eastAsia="zh-CN"/>
              </w:rPr>
              <w:t>副庭长</w:t>
            </w:r>
          </w:p>
        </w:tc>
      </w:tr>
    </w:tbl>
    <w:p>
      <w:pPr>
        <w:spacing w:line="460" w:lineRule="exact"/>
        <w:rPr>
          <w:rFonts w:hint="eastAsia"/>
          <w:sz w:val="28"/>
        </w:rPr>
      </w:pPr>
      <w:r>
        <w:rPr>
          <w:rFonts w:hint="eastAsia"/>
          <w:sz w:val="28"/>
        </w:rPr>
        <w:t>附件2：</w:t>
      </w:r>
    </w:p>
    <w:p>
      <w:pPr>
        <w:spacing w:line="500" w:lineRule="exact"/>
        <w:jc w:val="center"/>
        <w:rPr>
          <w:rFonts w:hint="default" w:ascii="黑体" w:eastAsia="黑体"/>
          <w:b/>
          <w:sz w:val="35"/>
          <w:lang w:val="en-US" w:eastAsia="zh-CN"/>
        </w:rPr>
      </w:pPr>
      <w:r>
        <w:rPr>
          <w:rFonts w:hint="eastAsia" w:ascii="黑体" w:eastAsia="黑体"/>
          <w:b/>
          <w:sz w:val="35"/>
          <w:lang w:val="en-US" w:eastAsia="zh-CN"/>
        </w:rPr>
        <w:t>民法典</w:t>
      </w:r>
      <w:r>
        <w:rPr>
          <w:rFonts w:hint="eastAsia" w:ascii="黑体" w:eastAsia="黑体"/>
          <w:b/>
          <w:sz w:val="35"/>
        </w:rPr>
        <w:t>视角：</w:t>
      </w:r>
      <w:r>
        <w:rPr>
          <w:rFonts w:hint="eastAsia" w:ascii="黑体" w:eastAsia="黑体"/>
          <w:b/>
          <w:sz w:val="35"/>
          <w:lang w:val="en-US" w:eastAsia="zh-CN"/>
        </w:rPr>
        <w:t>技术合同与</w:t>
      </w:r>
      <w:r>
        <w:rPr>
          <w:rFonts w:hint="eastAsia" w:ascii="黑体" w:eastAsia="黑体"/>
          <w:b/>
          <w:sz w:val="35"/>
        </w:rPr>
        <w:t>商业秘密管理</w:t>
      </w:r>
      <w:r>
        <w:rPr>
          <w:rFonts w:hint="eastAsia" w:ascii="黑体" w:eastAsia="黑体"/>
          <w:b/>
          <w:sz w:val="35"/>
          <w:lang w:eastAsia="zh-CN"/>
        </w:rPr>
        <w:t>、</w:t>
      </w:r>
      <w:r>
        <w:rPr>
          <w:rFonts w:hint="eastAsia" w:ascii="黑体" w:eastAsia="黑体"/>
          <w:b/>
          <w:sz w:val="35"/>
          <w:lang w:val="en-US" w:eastAsia="zh-CN"/>
        </w:rPr>
        <w:t>诉讼、抗辩实务</w:t>
      </w:r>
    </w:p>
    <w:p>
      <w:pPr>
        <w:spacing w:line="500" w:lineRule="exact"/>
        <w:jc w:val="center"/>
        <w:rPr>
          <w:rFonts w:hint="eastAsia" w:eastAsia="黑体"/>
          <w:b/>
          <w:bCs/>
          <w:sz w:val="35"/>
        </w:rPr>
      </w:pPr>
      <w:r>
        <w:rPr>
          <w:rFonts w:hint="eastAsia" w:ascii="黑体" w:eastAsia="黑体"/>
          <w:b/>
          <w:sz w:val="35"/>
          <w:lang w:val="en-US" w:eastAsia="zh-CN"/>
        </w:rPr>
        <w:t>暨典型案例解析高研班</w:t>
      </w:r>
      <w:r>
        <w:rPr>
          <w:rFonts w:hint="eastAsia" w:ascii="黑体" w:eastAsia="黑体"/>
          <w:b/>
          <w:sz w:val="35"/>
        </w:rPr>
        <w:t>·</w:t>
      </w:r>
      <w:r>
        <w:rPr>
          <w:rFonts w:hint="eastAsia" w:eastAsia="黑体"/>
          <w:b/>
          <w:bCs/>
          <w:sz w:val="35"/>
        </w:rPr>
        <w:t>报名表</w:t>
      </w:r>
    </w:p>
    <w:tbl>
      <w:tblPr>
        <w:tblStyle w:val="7"/>
        <w:tblW w:w="96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796"/>
        <w:gridCol w:w="104"/>
        <w:gridCol w:w="11"/>
        <w:gridCol w:w="889"/>
        <w:gridCol w:w="512"/>
        <w:gridCol w:w="960"/>
        <w:gridCol w:w="1687"/>
        <w:gridCol w:w="441"/>
        <w:gridCol w:w="418"/>
        <w:gridCol w:w="2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336" w:type="dxa"/>
            <w:gridSpan w:val="2"/>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单位名称</w:t>
            </w:r>
          </w:p>
        </w:tc>
        <w:tc>
          <w:tcPr>
            <w:tcW w:w="7293" w:type="dxa"/>
            <w:gridSpan w:val="9"/>
            <w:noWrap w:val="0"/>
            <w:vAlign w:val="center"/>
          </w:tcPr>
          <w:p>
            <w:pPr>
              <w:snapToGrid w:val="0"/>
              <w:jc w:val="center"/>
              <w:rPr>
                <w:rFonts w:hint="eastAsia" w:ascii="仿宋_GB2312" w:eastAsia="仿宋_GB2312"/>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336" w:type="dxa"/>
            <w:gridSpan w:val="2"/>
            <w:tcBorders>
              <w:bottom w:val="single" w:color="auto" w:sz="4"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通信地址</w:t>
            </w:r>
          </w:p>
        </w:tc>
        <w:tc>
          <w:tcPr>
            <w:tcW w:w="4163" w:type="dxa"/>
            <w:gridSpan w:val="6"/>
            <w:tcBorders>
              <w:bottom w:val="single" w:color="auto" w:sz="4" w:space="0"/>
            </w:tcBorders>
            <w:noWrap w:val="0"/>
            <w:vAlign w:val="center"/>
          </w:tcPr>
          <w:p>
            <w:pPr>
              <w:snapToGrid w:val="0"/>
              <w:jc w:val="center"/>
              <w:rPr>
                <w:rFonts w:hint="eastAsia" w:ascii="仿宋_GB2312" w:eastAsia="仿宋_GB2312"/>
                <w:sz w:val="28"/>
                <w:szCs w:val="32"/>
              </w:rPr>
            </w:pPr>
          </w:p>
        </w:tc>
        <w:tc>
          <w:tcPr>
            <w:tcW w:w="859" w:type="dxa"/>
            <w:gridSpan w:val="2"/>
            <w:tcBorders>
              <w:bottom w:val="single" w:color="auto" w:sz="4"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邮编</w:t>
            </w:r>
          </w:p>
        </w:tc>
        <w:tc>
          <w:tcPr>
            <w:tcW w:w="2271" w:type="dxa"/>
            <w:tcBorders>
              <w:bottom w:val="single" w:color="auto" w:sz="4" w:space="0"/>
            </w:tcBorders>
            <w:noWrap w:val="0"/>
            <w:vAlign w:val="center"/>
          </w:tcPr>
          <w:p>
            <w:pPr>
              <w:snapToGrid w:val="0"/>
              <w:jc w:val="center"/>
              <w:rPr>
                <w:rFonts w:hint="eastAsia" w:ascii="仿宋_GB2312" w:eastAsia="仿宋_GB2312"/>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336" w:type="dxa"/>
            <w:gridSpan w:val="2"/>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联系人</w:t>
            </w:r>
          </w:p>
        </w:tc>
        <w:tc>
          <w:tcPr>
            <w:tcW w:w="1516" w:type="dxa"/>
            <w:gridSpan w:val="4"/>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p>
        </w:tc>
        <w:tc>
          <w:tcPr>
            <w:tcW w:w="960" w:type="dxa"/>
            <w:tcBorders>
              <w:top w:val="single" w:color="auto" w:sz="4" w:space="0"/>
              <w:bottom w:val="single" w:color="auto" w:sz="12" w:space="0"/>
            </w:tcBorders>
            <w:noWrap w:val="0"/>
            <w:vAlign w:val="center"/>
          </w:tcPr>
          <w:p>
            <w:pPr>
              <w:snapToGrid w:val="0"/>
              <w:ind w:left="30"/>
              <w:jc w:val="center"/>
              <w:rPr>
                <w:rFonts w:hint="eastAsia" w:ascii="仿宋_GB2312" w:eastAsia="仿宋_GB2312"/>
                <w:sz w:val="28"/>
                <w:szCs w:val="32"/>
              </w:rPr>
            </w:pPr>
            <w:r>
              <w:rPr>
                <w:rFonts w:hint="eastAsia" w:ascii="仿宋_GB2312" w:eastAsia="仿宋_GB2312"/>
                <w:sz w:val="28"/>
                <w:szCs w:val="32"/>
              </w:rPr>
              <w:t>电话</w:t>
            </w:r>
          </w:p>
        </w:tc>
        <w:tc>
          <w:tcPr>
            <w:tcW w:w="1687" w:type="dxa"/>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p>
        </w:tc>
        <w:tc>
          <w:tcPr>
            <w:tcW w:w="859" w:type="dxa"/>
            <w:gridSpan w:val="2"/>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传真</w:t>
            </w:r>
          </w:p>
        </w:tc>
        <w:tc>
          <w:tcPr>
            <w:tcW w:w="2271" w:type="dxa"/>
            <w:tcBorders>
              <w:top w:val="single" w:color="auto" w:sz="4" w:space="0"/>
              <w:bottom w:val="single" w:color="auto" w:sz="12" w:space="0"/>
            </w:tcBorders>
            <w:noWrap w:val="0"/>
            <w:vAlign w:val="center"/>
          </w:tcPr>
          <w:p>
            <w:pPr>
              <w:snapToGrid w:val="0"/>
              <w:jc w:val="center"/>
              <w:rPr>
                <w:rFonts w:hint="eastAsia" w:ascii="仿宋_GB2312" w:eastAsia="仿宋_GB2312"/>
                <w:sz w:val="28"/>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629" w:type="dxa"/>
            <w:gridSpan w:val="11"/>
            <w:tcBorders>
              <w:top w:val="single" w:color="auto" w:sz="12" w:space="0"/>
            </w:tcBorders>
            <w:noWrap w:val="0"/>
            <w:vAlign w:val="center"/>
          </w:tcPr>
          <w:p>
            <w:pPr>
              <w:snapToGrid w:val="0"/>
              <w:jc w:val="center"/>
              <w:rPr>
                <w:rFonts w:hint="eastAsia" w:ascii="楷体_GB2312" w:eastAsia="仿宋_GB2312"/>
                <w:b/>
                <w:sz w:val="36"/>
                <w:szCs w:val="36"/>
              </w:rPr>
            </w:pPr>
            <w:r>
              <w:rPr>
                <w:rFonts w:hint="eastAsia" w:ascii="楷体_GB2312" w:eastAsia="仿宋_GB2312"/>
                <w:b/>
                <w:sz w:val="36"/>
                <w:szCs w:val="36"/>
              </w:rPr>
              <w:t>参    加    人    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40" w:type="dxa"/>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姓  名</w:t>
            </w:r>
          </w:p>
        </w:tc>
        <w:tc>
          <w:tcPr>
            <w:tcW w:w="900" w:type="dxa"/>
            <w:gridSpan w:val="2"/>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职务</w:t>
            </w:r>
          </w:p>
        </w:tc>
        <w:tc>
          <w:tcPr>
            <w:tcW w:w="900" w:type="dxa"/>
            <w:gridSpan w:val="2"/>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性别</w:t>
            </w:r>
          </w:p>
        </w:tc>
        <w:tc>
          <w:tcPr>
            <w:tcW w:w="3600" w:type="dxa"/>
            <w:gridSpan w:val="4"/>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联系电话、手机</w:t>
            </w:r>
          </w:p>
        </w:tc>
        <w:tc>
          <w:tcPr>
            <w:tcW w:w="2689" w:type="dxa"/>
            <w:gridSpan w:val="2"/>
            <w:noWrap w:val="0"/>
            <w:vAlign w:val="center"/>
          </w:tcPr>
          <w:p>
            <w:pPr>
              <w:spacing w:line="480" w:lineRule="exact"/>
              <w:jc w:val="center"/>
              <w:rPr>
                <w:rFonts w:hint="eastAsia" w:eastAsia="仿宋_GB2312"/>
                <w:sz w:val="28"/>
              </w:rPr>
            </w:pPr>
            <w:r>
              <w:rPr>
                <w:rFonts w:hint="eastAsia" w:ascii="仿宋_GB2312" w:eastAsia="仿宋_GB2312"/>
                <w:sz w:val="28"/>
                <w:szCs w:val="32"/>
              </w:rPr>
              <w:t>电子邮件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0" w:type="dxa"/>
            <w:noWrap w:val="0"/>
            <w:vAlign w:val="center"/>
          </w:tcPr>
          <w:p>
            <w:pPr>
              <w:snapToGrid w:val="0"/>
              <w:jc w:val="center"/>
              <w:rPr>
                <w:rFonts w:hint="eastAsia" w:ascii="仿宋_GB2312" w:eastAsia="仿宋_GB2312"/>
                <w:sz w:val="28"/>
                <w:szCs w:val="32"/>
              </w:rPr>
            </w:pPr>
          </w:p>
        </w:tc>
        <w:tc>
          <w:tcPr>
            <w:tcW w:w="911" w:type="dxa"/>
            <w:gridSpan w:val="3"/>
            <w:noWrap w:val="0"/>
            <w:vAlign w:val="center"/>
          </w:tcPr>
          <w:p>
            <w:pPr>
              <w:snapToGrid w:val="0"/>
              <w:jc w:val="center"/>
              <w:rPr>
                <w:rFonts w:hint="eastAsia" w:ascii="仿宋_GB2312" w:eastAsia="仿宋_GB2312"/>
                <w:sz w:val="28"/>
                <w:szCs w:val="32"/>
              </w:rPr>
            </w:pPr>
          </w:p>
        </w:tc>
        <w:tc>
          <w:tcPr>
            <w:tcW w:w="889" w:type="dxa"/>
            <w:noWrap w:val="0"/>
            <w:vAlign w:val="center"/>
          </w:tcPr>
          <w:p>
            <w:pPr>
              <w:snapToGrid w:val="0"/>
              <w:jc w:val="center"/>
              <w:rPr>
                <w:rFonts w:hint="eastAsia" w:ascii="仿宋_GB2312" w:eastAsia="仿宋_GB2312"/>
                <w:sz w:val="28"/>
                <w:szCs w:val="32"/>
              </w:rPr>
            </w:pPr>
          </w:p>
        </w:tc>
        <w:tc>
          <w:tcPr>
            <w:tcW w:w="3600" w:type="dxa"/>
            <w:gridSpan w:val="4"/>
            <w:noWrap w:val="0"/>
            <w:vAlign w:val="center"/>
          </w:tcPr>
          <w:p>
            <w:pPr>
              <w:snapToGrid w:val="0"/>
              <w:jc w:val="center"/>
              <w:rPr>
                <w:rFonts w:hint="eastAsia" w:ascii="仿宋_GB2312" w:eastAsia="仿宋_GB2312"/>
                <w:sz w:val="28"/>
                <w:szCs w:val="32"/>
              </w:rPr>
            </w:pPr>
          </w:p>
        </w:tc>
        <w:tc>
          <w:tcPr>
            <w:tcW w:w="2689" w:type="dxa"/>
            <w:gridSpan w:val="2"/>
            <w:noWrap w:val="0"/>
            <w:vAlign w:val="top"/>
          </w:tcPr>
          <w:p>
            <w:pPr>
              <w:spacing w:line="48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451" w:type="dxa"/>
            <w:gridSpan w:val="4"/>
            <w:tcBorders>
              <w:bottom w:val="single" w:color="auto" w:sz="12" w:space="0"/>
            </w:tcBorders>
            <w:noWrap w:val="0"/>
            <w:vAlign w:val="center"/>
          </w:tcPr>
          <w:p>
            <w:pPr>
              <w:snapToGrid w:val="0"/>
              <w:jc w:val="center"/>
              <w:rPr>
                <w:rFonts w:hint="eastAsia" w:ascii="仿宋_GB2312" w:eastAsia="仿宋_GB2312"/>
                <w:sz w:val="28"/>
                <w:szCs w:val="32"/>
              </w:rPr>
            </w:pPr>
            <w:r>
              <w:rPr>
                <w:rFonts w:hint="eastAsia" w:ascii="仿宋_GB2312" w:eastAsia="仿宋_GB2312"/>
                <w:sz w:val="28"/>
                <w:szCs w:val="32"/>
              </w:rPr>
              <w:t>住宿预订</w:t>
            </w:r>
          </w:p>
        </w:tc>
        <w:tc>
          <w:tcPr>
            <w:tcW w:w="7178" w:type="dxa"/>
            <w:gridSpan w:val="7"/>
            <w:tcBorders>
              <w:bottom w:val="single" w:color="auto" w:sz="12" w:space="0"/>
            </w:tcBorders>
            <w:noWrap w:val="0"/>
            <w:vAlign w:val="center"/>
          </w:tcPr>
          <w:p>
            <w:pPr>
              <w:ind w:firstLine="840" w:firstLineChars="300"/>
              <w:rPr>
                <w:rFonts w:hint="eastAsia" w:ascii="仿宋_GB2312" w:eastAsia="仿宋_GB2312"/>
                <w:sz w:val="28"/>
              </w:rPr>
            </w:pPr>
            <w:r>
              <w:rPr>
                <w:rFonts w:hint="eastAsia" w:ascii="仿宋_GB2312" w:eastAsia="仿宋_GB2312"/>
                <w:sz w:val="28"/>
              </w:rPr>
              <w:t>□合住            □包房        □不住</w:t>
            </w:r>
          </w:p>
          <w:p>
            <w:pPr>
              <w:snapToGrid w:val="0"/>
              <w:jc w:val="center"/>
              <w:rPr>
                <w:rFonts w:hint="eastAsia" w:ascii="仿宋_GB2312" w:eastAsia="仿宋_GB2312"/>
                <w:sz w:val="28"/>
                <w:szCs w:val="32"/>
              </w:rPr>
            </w:pPr>
            <w:r>
              <w:rPr>
                <w:rFonts w:hint="eastAsia" w:ascii="仿宋_GB2312" w:eastAsia="仿宋_GB2312"/>
                <w:sz w:val="28"/>
              </w:rPr>
              <w:t>拟住日期：</w:t>
            </w:r>
            <w:r>
              <w:rPr>
                <w:rFonts w:hint="eastAsia" w:hAnsi="宋体" w:eastAsia="仿宋_GB2312"/>
                <w:sz w:val="28"/>
              </w:rPr>
              <w:t>20</w:t>
            </w:r>
            <w:r>
              <w:rPr>
                <w:rFonts w:hint="eastAsia" w:hAnsi="宋体" w:eastAsia="仿宋_GB2312"/>
                <w:sz w:val="28"/>
                <w:lang w:val="en-US" w:eastAsia="zh-CN"/>
              </w:rPr>
              <w:t>20</w:t>
            </w:r>
            <w:r>
              <w:rPr>
                <w:rFonts w:hint="eastAsia" w:ascii="仿宋_GB2312" w:eastAsia="仿宋_GB2312"/>
                <w:sz w:val="28"/>
              </w:rPr>
              <w:t>年  月  日—  月  日</w:t>
            </w:r>
          </w:p>
        </w:tc>
      </w:tr>
    </w:tbl>
    <w:p>
      <w:pPr>
        <w:adjustRightInd w:val="0"/>
        <w:snapToGrid w:val="0"/>
        <w:spacing w:line="400" w:lineRule="exact"/>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90D6B5-D5AE-4CB0-8934-EEEE2C2457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2BBD84A-14A1-4D68-BD15-40F083A76F9F}"/>
  </w:font>
  <w:font w:name="仿宋_GB2312">
    <w:altName w:val="仿宋"/>
    <w:panose1 w:val="02010609030101010101"/>
    <w:charset w:val="86"/>
    <w:family w:val="modern"/>
    <w:pitch w:val="default"/>
    <w:sig w:usb0="00000000" w:usb1="00000000" w:usb2="00000010" w:usb3="00000000" w:csb0="00040000" w:csb1="00000000"/>
    <w:embedRegular r:id="rId3" w:fontKey="{EDD8FD4A-CEC6-4AC2-ABE1-C89C6AB4E6B8}"/>
  </w:font>
  <w:font w:name="方正粗黑宋简体">
    <w:panose1 w:val="02000000000000000000"/>
    <w:charset w:val="86"/>
    <w:family w:val="auto"/>
    <w:pitch w:val="default"/>
    <w:sig w:usb0="00000000" w:usb1="00000000" w:usb2="00000000" w:usb3="00000000" w:csb0="00000000" w:csb1="00000000"/>
    <w:embedRegular r:id="rId4" w:fontKey="{E918D648-7DFD-4593-B9EC-4C6BB600A402}"/>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5" w:fontKey="{FF4DAED4-B009-48CE-BA62-27D3653CC67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34182"/>
    <w:rsid w:val="01ED39E0"/>
    <w:rsid w:val="062069F2"/>
    <w:rsid w:val="082071DD"/>
    <w:rsid w:val="111A0CD6"/>
    <w:rsid w:val="14903EB4"/>
    <w:rsid w:val="16B70635"/>
    <w:rsid w:val="1B6E649F"/>
    <w:rsid w:val="1BAC0CED"/>
    <w:rsid w:val="1D06597F"/>
    <w:rsid w:val="1E6A02C1"/>
    <w:rsid w:val="23932ACB"/>
    <w:rsid w:val="2849132B"/>
    <w:rsid w:val="2DE63C60"/>
    <w:rsid w:val="33801B32"/>
    <w:rsid w:val="33DC2BDA"/>
    <w:rsid w:val="346346EA"/>
    <w:rsid w:val="35987C35"/>
    <w:rsid w:val="44296515"/>
    <w:rsid w:val="45CE212C"/>
    <w:rsid w:val="4F920D31"/>
    <w:rsid w:val="52827462"/>
    <w:rsid w:val="52B47CAF"/>
    <w:rsid w:val="537266A7"/>
    <w:rsid w:val="577C5D3F"/>
    <w:rsid w:val="5A317CA9"/>
    <w:rsid w:val="5B79239D"/>
    <w:rsid w:val="5CC662D8"/>
    <w:rsid w:val="6DF05780"/>
    <w:rsid w:val="6F934182"/>
    <w:rsid w:val="70C02D9C"/>
    <w:rsid w:val="70D47503"/>
    <w:rsid w:val="72970CA3"/>
    <w:rsid w:val="73921391"/>
    <w:rsid w:val="74762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autoSpaceDE w:val="0"/>
      <w:autoSpaceDN w:val="0"/>
      <w:adjustRightInd w:val="0"/>
      <w:spacing w:line="312" w:lineRule="atLeast"/>
      <w:ind w:firstLine="570"/>
      <w:jc w:val="left"/>
      <w:textAlignment w:val="baseline"/>
    </w:pPr>
    <w:rPr>
      <w:rFonts w:ascii="仿宋_GB2312" w:eastAsia="仿宋_GB2312"/>
      <w:color w:val="000000"/>
      <w:kern w:val="0"/>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customStyle="1" w:styleId="9">
    <w:name w:val=" Char Char"/>
    <w:basedOn w:val="1"/>
    <w:link w:val="8"/>
    <w:qFormat/>
    <w:uiPriority w:val="0"/>
  </w:style>
  <w:style w:type="character" w:styleId="10">
    <w:name w:val="page number"/>
    <w:basedOn w:val="8"/>
    <w:qFormat/>
    <w:uiPriority w:val="0"/>
  </w:style>
  <w:style w:type="character" w:styleId="11">
    <w:name w:val="Hyperlink"/>
    <w:basedOn w:val="8"/>
    <w:uiPriority w:val="0"/>
    <w:rPr>
      <w:color w:val="0000FF"/>
      <w:u w:val="single"/>
    </w:rPr>
  </w:style>
  <w:style w:type="character" w:customStyle="1" w:styleId="12">
    <w:name w:val="apple-style-span"/>
    <w:basedOn w:val="8"/>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2493</Words>
  <Characters>2600</Characters>
  <Lines>0</Lines>
  <Paragraphs>0</Paragraphs>
  <TotalTime>3</TotalTime>
  <ScaleCrop>false</ScaleCrop>
  <LinksUpToDate>false</LinksUpToDate>
  <CharactersWithSpaces>2979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2020-07-22T06:35:00Z</dcterms:created>
  <dc:creator>HZM</dc:creator>
  <cp:lastModifiedBy>海容</cp:lastModifiedBy>
  <dcterms:modified xsi:type="dcterms:W3CDTF">2020-09-02T01:20:17Z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